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6A56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konteks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penerapan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deep learning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menurut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Michael Fullan</w:t>
      </w: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tata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kelola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peran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pusat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daerah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, dan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satuan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sangat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penting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menciptakan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ekosistem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(deep learning). Fullan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mengembangkan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teori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tentang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tidak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hanya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mengandalkan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satu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pihak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melainkan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membutuhkan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kolaborasi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antara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berbagai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tingkat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lembaga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Berikut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adalah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tata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kelola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lebih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terperinci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:</w:t>
      </w:r>
    </w:p>
    <w:p w14:paraId="19A5400F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outlineLvl w:val="2"/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</w:pPr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1. Peran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Pusat</w:t>
      </w:r>
    </w:p>
    <w:p w14:paraId="7397389E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pusat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memiliki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sangat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penting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menciptakan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mengarahkan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penerapan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deep learning</w:t>
      </w: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secara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sistematis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di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seluruh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sistem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Beberapa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tugas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utama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pusat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konteks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adalah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:</w:t>
      </w:r>
    </w:p>
    <w:p w14:paraId="0B63F5F2" w14:textId="77777777" w:rsidR="00F52997" w:rsidRPr="00F52997" w:rsidRDefault="00F52997" w:rsidP="00F529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Nasional yang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pusat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harus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menetapkan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nasional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integrasi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deep learning</w:t>
      </w: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di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seluruh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sistem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termasuk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mengarah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pada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pengembangan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keterampilan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abad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ke-21,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melibatkan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keterampilan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kritis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kreatif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analitis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diperlukan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penerapan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juga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bertanggung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jawab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memperkenalkan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kurikulum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berbasis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kompetensi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mengutamakan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keterampilan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pemahaman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bukan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sekadar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hafalan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14DEF1CD" w14:textId="77777777" w:rsidR="00F52997" w:rsidRPr="00F52997" w:rsidRDefault="00F52997" w:rsidP="00F529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Standarisasi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Pedoman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pusat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berfungsi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sebagai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pengarah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standarisasi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pelaksanaan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deep learning.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mencakup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pedoman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atau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kerangka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kerja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bisa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diadopsi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oleh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daerah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satuan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Meskipun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masing-masing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daerah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sekolah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memiliki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karakteristik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berbeda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pusat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memberikan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pedoman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dapat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digunakan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menyelaraskan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tujuan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secara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nasional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47EEF161" w14:textId="77777777" w:rsidR="00F52997" w:rsidRPr="00F52997" w:rsidRDefault="00F52997" w:rsidP="00F529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Pendanaan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Sumber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Daya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pusat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berperan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menyediakan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dana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diperlukan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penerapan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deep learning,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seperti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pengadaan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teknologi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pelatihan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guru,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pengembangan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materi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ajar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juga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perlu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menyediakan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sumber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daya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infrastruktur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digital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diperlukan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berbasis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teknologi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34AF0103" w14:textId="77777777" w:rsidR="00F52997" w:rsidRPr="00F52997" w:rsidRDefault="00F52997" w:rsidP="00F5299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Pengembangan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Profesional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penerapan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deep learning,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pusat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perlu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menyelenggarakan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program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pengembangan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profesional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bagi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misalnya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melalui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pelatihan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tentang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penggunaan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teknologi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metodologi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inovatif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keterampilan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berpikir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kritis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kreatif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38C6A3B6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outlineLvl w:val="2"/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</w:pPr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2. Peran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Daerah</w:t>
      </w:r>
    </w:p>
    <w:p w14:paraId="37834BDE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daerah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bertanggung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jawab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mengimplementasikan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ditetapkan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oleh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pusat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konteks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lokal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Mereka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juga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memiliki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fleksibilitas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menyesuaikan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dengan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kebutuhan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lokal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satuan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secara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lebih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langsung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Peran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daerah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tata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kelola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penerapan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deep learning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meliputi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:</w:t>
      </w:r>
    </w:p>
    <w:p w14:paraId="430259D1" w14:textId="77777777" w:rsidR="00F52997" w:rsidRPr="00F52997" w:rsidRDefault="00F52997" w:rsidP="00F5299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Implementasi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Pendidikan</w:t>
      </w: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daerah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harus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mengadaptasi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ditetapkan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oleh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pusat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konteks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lokal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termasuk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penyesuaian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kurikulum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metodologi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sesuai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dengan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kondisi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kebutuhan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lokal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sambil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tetap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mengikuti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pedoman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nasional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ada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4C3C7C6B" w14:textId="77777777" w:rsidR="00F52997" w:rsidRPr="00F52997" w:rsidRDefault="00F52997" w:rsidP="00F5299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Penyediaan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Sumber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Daya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Lokal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daerah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memiliki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menyediakan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sumber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daya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dibutuhkan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oleh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sekolah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seperti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alat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teknologi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buku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fasilitas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fisik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penerapan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deep learning.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Mereka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juga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bertanggung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jawab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atas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pendanaan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di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tingkat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lokal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memastikan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alokasi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cukup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477DF860" w14:textId="77777777" w:rsidR="00F52997" w:rsidRPr="00F52997" w:rsidRDefault="00F52997" w:rsidP="00F5299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Pelatihan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Pengembangan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Guru</w:t>
      </w: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daerah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memainkan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pelatihan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guru dan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staf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memahami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menerapkan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strategi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bisa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dilakukan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melalui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workshop, seminar,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atau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program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pelatihan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berkelanjutan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memfasilitasi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guru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mengembangkan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keterampilan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mengajar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berbasis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teknologi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metode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aktif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46AE5D1B" w14:textId="77777777" w:rsidR="00F52997" w:rsidRPr="00F52997" w:rsidRDefault="00F52997" w:rsidP="00F5299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Evaluasi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Penyesuaian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daerah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bertanggung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jawab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memantau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mengevaluasi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implementasi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deep learning di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sekolah-sekolah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Mereka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juga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dapat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melakukan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penyesuaian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program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memastikan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bahwa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tujuan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tercapai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di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tingkat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lokal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memberikan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umpan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balik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kepada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pusat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terkait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tantangan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pencapaian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dihadapi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2A36B3AB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outlineLvl w:val="2"/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</w:pPr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3. Peran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Satuan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Pendidikan (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Sekolah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)</w:t>
      </w:r>
    </w:p>
    <w:p w14:paraId="0F977F51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Satuan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sekolah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lembaga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memiliki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sentral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implementasi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langsung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deep learning</w:t>
      </w: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di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kelas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Mereka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adalah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pihak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menerapkan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ditetapkan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oleh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pusat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daerah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praktik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sehari-hari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Tanggung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jawab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sekolah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meliputi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:</w:t>
      </w:r>
    </w:p>
    <w:p w14:paraId="41FBF1E2" w14:textId="77777777" w:rsidR="00F52997" w:rsidRPr="00F52997" w:rsidRDefault="00F52997" w:rsidP="00F529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Praktik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Sekolah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harus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memastikan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bahwa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di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kelas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mengedepankan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pendekatan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yaitu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mengembangkan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keterampilan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berpikir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kritis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kreatif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pemecahan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masalah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Hal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termasuk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penggunaan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metode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aktif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seperti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proyek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berbasis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masalah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(problem-based learning),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kolaboratif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berbasis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teknologi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(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misalnya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menggunakan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AI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atau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data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besar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).</w:t>
      </w:r>
    </w:p>
    <w:p w14:paraId="797B526D" w14:textId="77777777" w:rsidR="00F52997" w:rsidRPr="00F52997" w:rsidRDefault="00F52997" w:rsidP="00F529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Pengembangan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Kurikulum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Penilaian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Satuan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harus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menyesuaikan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kurikulum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dengan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fokus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pada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keterampilan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abad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ke-21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memastikan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bahwa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juga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tercermin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penilaian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lebih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komprehensif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berbasis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proses,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bukan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hanya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mengutamakan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ujian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akhir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atau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nilai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numerik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semata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melibatkan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pengembangan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penilaian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formatif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memberikan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umpan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balik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berkelanjutan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tentang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perkembangan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siswa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0B160BF3" w14:textId="77777777" w:rsidR="00F52997" w:rsidRPr="00F52997" w:rsidRDefault="00F52997" w:rsidP="00F529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Pemberdayaan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Guru</w:t>
      </w: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Di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tingkat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sekolah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pemberdayaan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guru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adalah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kunci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utama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Sekolah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harus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menyediakan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pelatihan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guru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mengadopsi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metode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inovatif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Guru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diharapkan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mengembangkan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kompetensi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mengelola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kelas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berfokus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pada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pengembangan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kognitif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keterampilan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hidup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siswa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67D50F90" w14:textId="77777777" w:rsidR="00F52997" w:rsidRPr="00F52997" w:rsidRDefault="00F52997" w:rsidP="00F529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Keterlibatan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Siswa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Satuan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juga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harus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berperan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menciptakan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budaya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sekolah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keterlibatan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aktif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siswa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meliputi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kegiatan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mendorong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eksplorasi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kolaborasi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diskusi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di mana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siswa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dapat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menghubungkan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pengetahuan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mereka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pelajari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dengan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tantangan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dunia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nyata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73C3008B" w14:textId="77777777" w:rsidR="00F52997" w:rsidRPr="00F52997" w:rsidRDefault="00F52997" w:rsidP="00F52997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Pemanfaatan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Teknologi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Sekolah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perlu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memanfaatkan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teknologi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meningkatkan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Penggunaan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alat-alat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berbasis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teknologi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akses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informasi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kolaborasi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digital</w:t>
      </w: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dan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pengembangan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keterampilan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digital</w:t>
      </w: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bagi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siswa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menjadi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sangat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penting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konteks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deep learning.</w:t>
      </w:r>
    </w:p>
    <w:p w14:paraId="1AF8D0A8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outlineLvl w:val="2"/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</w:pPr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Kesimpulan</w:t>
      </w:r>
    </w:p>
    <w:p w14:paraId="184CDC1D" w14:textId="34519C11" w:rsidR="00F52997" w:rsidRPr="00F52997" w:rsidRDefault="00F52997" w:rsidP="00F52997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Penerapan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deep learning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menurut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Fullan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memerlukan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kolaborasi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erat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antara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pusat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daerah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dan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satuan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Masing-masing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memiliki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spesifik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namun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saling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menciptakan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ekosistem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pusat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bertugas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menetapkan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nasional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menyediakan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sumber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sementara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daerah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bertanggung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jawab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adaptasi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lokal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penyediaan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dukungan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praktis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Satuan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di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lain,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berfokus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pada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implementasi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langsung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melalui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praktik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pemberdayaan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guru,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penerapan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teknologi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57A50D24" w14:textId="77777777" w:rsidR="00F52997" w:rsidRPr="00F52997" w:rsidRDefault="00F52997" w:rsidP="00F52997">
      <w:pPr>
        <w:pBdr>
          <w:top w:val="single" w:sz="6" w:space="1" w:color="auto"/>
        </w:pBdr>
        <w:spacing w:after="0" w:line="240" w:lineRule="auto"/>
        <w:jc w:val="both"/>
        <w:rPr>
          <w:rFonts w:ascii="Gill Sans MT" w:eastAsia="Times New Roman" w:hAnsi="Gill Sans MT" w:cs="Arial"/>
          <w:vanish/>
          <w:sz w:val="24"/>
          <w:szCs w:val="24"/>
          <w:lang w:eastAsia="en-ID"/>
        </w:rPr>
      </w:pPr>
      <w:r w:rsidRPr="00F52997">
        <w:rPr>
          <w:rFonts w:ascii="Gill Sans MT" w:eastAsia="Times New Roman" w:hAnsi="Gill Sans MT" w:cs="Arial"/>
          <w:vanish/>
          <w:sz w:val="24"/>
          <w:szCs w:val="24"/>
          <w:lang w:eastAsia="en-ID"/>
        </w:rPr>
        <w:t>Bottom of Form</w:t>
      </w:r>
    </w:p>
    <w:p w14:paraId="7925DFC0" w14:textId="276C0AFD" w:rsidR="00F52997" w:rsidRPr="00F52997" w:rsidRDefault="00F52997" w:rsidP="00F52997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</w:t>
      </w:r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engawasan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pada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(Deep Learning)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menurut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Fullan</w:t>
      </w: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mengacu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pada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konsep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dikembangkan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oleh Michael Fullan,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seorang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ahli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terkenal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dengan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karya-karyanya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tentang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Fullan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mengembangkan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pendekatan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konteks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sistem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sekolah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bukan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hanya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konteks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teknologi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atau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mesin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Menurut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Fullan,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tidak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hanya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mencakup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pemahaman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konten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secara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tetapi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juga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mencakup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keterampilan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berpikir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kritis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kreativitas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penerapan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pengetahuan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konteks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dunia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nyata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3D05C462" w14:textId="2EB91AF6" w:rsidR="00F52997" w:rsidRPr="00F52997" w:rsidRDefault="00F52997" w:rsidP="00F52997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menurut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Fullan</w:t>
      </w: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lebih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berfokus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pada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bagaimana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kita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memantau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proses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memastikan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bahwa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dapat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diterapkan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secara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efektif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di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sekolah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kelas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Konsep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mencakup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beberapa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elemen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penting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di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antaranya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:</w:t>
      </w:r>
    </w:p>
    <w:p w14:paraId="214BB25A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outlineLvl w:val="2"/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</w:pPr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1.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terhadap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Proses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Perubahan</w:t>
      </w:r>
      <w:proofErr w:type="spellEnd"/>
    </w:p>
    <w:p w14:paraId="7005FCDC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Fullan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menekankan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pentingnya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proses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di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berfokus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pada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bagaimana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tersebut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dijalankan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diterapkan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apakah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melalui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pendekatan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kurikulum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baru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metodologi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atau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integrasi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teknologi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Proses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memerlukan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pemantauan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berkelanjutan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memastikan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bahwa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tidak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hanya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diterima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di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permukaan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tetapi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diterapkan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secara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berkelanjutan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30C27FC8" w14:textId="77777777" w:rsidR="00F52997" w:rsidRPr="00F52997" w:rsidRDefault="00F52997" w:rsidP="00F529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Evaluasi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Proses</w:t>
      </w: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: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Melalui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guru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pemimpin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dapat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mengevaluasi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sejauh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mana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praktik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baru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diterapkan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di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kelas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mencakup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pengamatan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terhadap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praktik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sehari-hari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bagaimana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siswa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berinteraksi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dengan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materi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apakah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keterampilan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berpikir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kritis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analitis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diperoleh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30ACD8E0" w14:textId="77777777" w:rsidR="00F52997" w:rsidRPr="00F52997" w:rsidRDefault="00F52997" w:rsidP="00F529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Umpan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Balik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Berkelanjutan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: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konteks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juga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melibatkan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pemberian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umpan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balik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konstruktif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kepada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guru,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siswa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pemangku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kepentingan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lainnya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Hal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membantu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mengidentifikasi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hambatan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atau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tantangan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penerapan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memberikan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solusi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perbaikan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berkelanjutan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7208CC35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outlineLvl w:val="2"/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</w:pPr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2.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terhadap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Keterlibatan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Siswa</w:t>
      </w:r>
      <w:proofErr w:type="spellEnd"/>
    </w:p>
    <w:p w14:paraId="568F0E5B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Fullan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menekankan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pentingnya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keterlibatan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siswa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di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bertujuan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memastikan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bahwa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siswa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tidak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hanya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terlibat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aktivitas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tetapi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mereka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juga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memiliki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pemahaman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terhadap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materi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dipelajari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492691B3" w14:textId="77777777" w:rsidR="00F52997" w:rsidRPr="00F52997" w:rsidRDefault="00F52997" w:rsidP="00F529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Partisipasi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Aktif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Siswa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: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guru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memantau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sejauh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mana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siswa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aktif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berpartisipasi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diskusi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kolaborasi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penerapan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keterampilan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bisa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dilihat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melalui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tugas-tugas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diberikan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interaksi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kelas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atau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proyek-proyek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memerlukan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pemecahan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masalah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67B0554B" w14:textId="77777777" w:rsidR="00F52997" w:rsidRPr="00F52997" w:rsidRDefault="00F52997" w:rsidP="00F529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Penyusunan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Penilaian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Tugas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Berbasis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Keterampilan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: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juga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mencakup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penilaian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terhadap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tugas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atau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proyek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menuntut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siswa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berpikir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kritis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kreatif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berfokus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pada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penilaian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proses</w:t>
      </w: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selain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hasil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dengan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tujuan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mengukur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perkembangan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keterampilan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siswa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seiring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waktu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72C51335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outlineLvl w:val="2"/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</w:pPr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3.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terhadap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Kolaborasi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Kepemimpinan</w:t>
      </w:r>
      <w:proofErr w:type="spellEnd"/>
    </w:p>
    <w:p w14:paraId="0D7EC6DA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Fullan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menekankan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pentingnya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kolaborasi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antara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guru,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pemimpin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sekolah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komunitas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memastikan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implementasi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sukses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Oleh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karena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itu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juga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mencakup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bagaimana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para guru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pemimpin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bekerja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sama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menciptakan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kondisi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539F5091" w14:textId="77777777" w:rsidR="00F52997" w:rsidRPr="00F52997" w:rsidRDefault="00F52997" w:rsidP="00F529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Kolaborasi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Guru</w:t>
      </w: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: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konteks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melibatkan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pemantauan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terhadap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upaya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kolaboratif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antar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guru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merancang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bisa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dilakukan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melalui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kelompok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profesional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berbasis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tim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atau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pertemuan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rutin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berbagi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praktik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terbaik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21E2AD6F" w14:textId="77777777" w:rsidR="00F52997" w:rsidRPr="00F52997" w:rsidRDefault="00F52997" w:rsidP="00F529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Kepemimpinan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Pendidikan</w:t>
      </w: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: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Pemimpin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sekolah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memiliki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penting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menciptakan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memantau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iklim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di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berfokus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pada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peran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pemimpin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memfasilitasi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guru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terus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berkembang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10243E3D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outlineLvl w:val="2"/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</w:pPr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4.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terhadap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Sumber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Daya</w:t>
      </w:r>
      <w:proofErr w:type="spellEnd"/>
    </w:p>
    <w:p w14:paraId="59746581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Fullan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mengakui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bahwa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besar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membutuhkan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serta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sumber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memadai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memastikan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bahwa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alokasi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sumber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daya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diarahkan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penerapan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secara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menyeluruh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6166DA4E" w14:textId="77777777" w:rsidR="00F52997" w:rsidRPr="00F52997" w:rsidRDefault="00F52997" w:rsidP="00F529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Penyusunan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: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juga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penting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memastikan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bahwa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diterapkan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oleh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pemerintah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atau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lembaga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tidak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menghambatnya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termasuk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terkait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kurikulum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pembiayaan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pengembangan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profesional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guru.</w:t>
      </w:r>
    </w:p>
    <w:p w14:paraId="41D1D760" w14:textId="77777777" w:rsidR="00F52997" w:rsidRPr="00F52997" w:rsidRDefault="00F52997" w:rsidP="00F529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Sumber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Daya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: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juga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mencakup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pemantauan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terhadap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sumber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tersedia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seperti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perangkat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digital,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buku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atau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fasilitas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kelas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praktik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2A404D13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outlineLvl w:val="2"/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</w:pPr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5.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terhadap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Keberlanjutan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Perubahan</w:t>
      </w:r>
      <w:proofErr w:type="spellEnd"/>
    </w:p>
    <w:p w14:paraId="7FD9AB83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Fullan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mengingatkan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bahwa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tidak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hanya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terjadi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jangka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pendek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tetapi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juga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perlu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dipertahankan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jangka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panjang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di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bertujuan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memastikan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bahwa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tersebut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berkelanjutan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tidak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berhenti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setelah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inisiatif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tertentu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selesai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5C95CA15" w14:textId="77777777" w:rsidR="00F52997" w:rsidRPr="00F52997" w:rsidRDefault="00F52997" w:rsidP="00F529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Evaluasi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Keberlanjutan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: Proses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evaluasi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terus-menerus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diperlukan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memastikan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bahwa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prinsip-prinsip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tetap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ada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meskipun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terdapat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atau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staf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pengajar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79766D74" w14:textId="77777777" w:rsidR="00F52997" w:rsidRPr="00F52997" w:rsidRDefault="00F52997" w:rsidP="00F529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Gill Sans MT" w:eastAsia="Times New Roman" w:hAnsi="Gill Sans MT" w:cs="Times New Roman"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Pengembangan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Profesional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Berkelanjutan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: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memastikan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bahwa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guru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pemimpin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terus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dilibatkan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pengembangan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profesional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sehingga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mereka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dapat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beradaptasi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dengan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terus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memperbaiki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cara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mereka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mengajar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</w:p>
    <w:p w14:paraId="4F51F593" w14:textId="77777777" w:rsidR="00F52997" w:rsidRPr="00F52997" w:rsidRDefault="00F52997" w:rsidP="00F52997">
      <w:pPr>
        <w:spacing w:before="100" w:beforeAutospacing="1" w:after="100" w:afterAutospacing="1" w:line="240" w:lineRule="auto"/>
        <w:jc w:val="both"/>
        <w:outlineLvl w:val="2"/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</w:pPr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Kesimpulan</w:t>
      </w:r>
    </w:p>
    <w:p w14:paraId="3D9AC289" w14:textId="27655B53" w:rsidR="00F52997" w:rsidRPr="00F52997" w:rsidRDefault="00F52997" w:rsidP="00F52997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 w:cs="Arial"/>
          <w:vanish/>
          <w:sz w:val="24"/>
          <w:szCs w:val="24"/>
          <w:lang w:eastAsia="en-ID"/>
        </w:rPr>
      </w:pP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konteks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Fullan,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pada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lebih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mengarah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pada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pemantauan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evaluasi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terhadap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proses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berlangsung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sistem</w:t>
      </w:r>
      <w:proofErr w:type="spellEnd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b/>
          <w:bCs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bertujuan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memastikan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bahwa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diimplementasikan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kurikulum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metode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mendukung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terciptanya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pembelajaran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berkelanjutan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.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Fokus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utama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pengawasan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ini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adalah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pada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keterlibatan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siswa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kolaborasi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antara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guru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pemimpin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,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serta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dukungan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kebijakan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dan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sumber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daya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diperlukan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untuk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menciptakan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perubahan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yang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signifikan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dalam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 xml:space="preserve"> </w:t>
      </w:r>
      <w:proofErr w:type="spellStart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pendidikan</w:t>
      </w:r>
      <w:proofErr w:type="spellEnd"/>
      <w:r w:rsidRPr="00F52997">
        <w:rPr>
          <w:rFonts w:ascii="Gill Sans MT" w:eastAsia="Times New Roman" w:hAnsi="Gill Sans MT" w:cs="Times New Roman"/>
          <w:sz w:val="24"/>
          <w:szCs w:val="24"/>
          <w:lang w:eastAsia="en-ID"/>
        </w:rPr>
        <w:t>.</w:t>
      </w:r>
      <w:r w:rsidRPr="00F52997">
        <w:rPr>
          <w:rFonts w:ascii="Gill Sans MT" w:eastAsia="Times New Roman" w:hAnsi="Gill Sans MT" w:cs="Arial"/>
          <w:vanish/>
          <w:sz w:val="24"/>
          <w:szCs w:val="24"/>
          <w:lang w:eastAsia="en-ID"/>
        </w:rPr>
        <w:t xml:space="preserve"> </w:t>
      </w:r>
    </w:p>
    <w:p w14:paraId="2F7A62DD" w14:textId="77777777" w:rsidR="00342FD1" w:rsidRPr="00F52997" w:rsidRDefault="00342FD1" w:rsidP="00F52997">
      <w:pPr>
        <w:jc w:val="both"/>
        <w:rPr>
          <w:rFonts w:ascii="Gill Sans MT" w:hAnsi="Gill Sans MT"/>
          <w:sz w:val="24"/>
          <w:szCs w:val="24"/>
        </w:rPr>
      </w:pPr>
    </w:p>
    <w:sectPr w:rsidR="00342FD1" w:rsidRPr="00F52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B467D"/>
    <w:multiLevelType w:val="multilevel"/>
    <w:tmpl w:val="DBD0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01C44"/>
    <w:multiLevelType w:val="multilevel"/>
    <w:tmpl w:val="3BD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52E3E"/>
    <w:multiLevelType w:val="multilevel"/>
    <w:tmpl w:val="7AD6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E6E8F"/>
    <w:multiLevelType w:val="multilevel"/>
    <w:tmpl w:val="4E00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E6C37"/>
    <w:multiLevelType w:val="multilevel"/>
    <w:tmpl w:val="943C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913663"/>
    <w:multiLevelType w:val="multilevel"/>
    <w:tmpl w:val="8212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D07B88"/>
    <w:multiLevelType w:val="multilevel"/>
    <w:tmpl w:val="B888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BE0FBF"/>
    <w:multiLevelType w:val="multilevel"/>
    <w:tmpl w:val="7B3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97"/>
    <w:rsid w:val="001B2510"/>
    <w:rsid w:val="00342FD1"/>
    <w:rsid w:val="00BE3A45"/>
    <w:rsid w:val="00F5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EDB6"/>
  <w15:chartTrackingRefBased/>
  <w15:docId w15:val="{F6E9681E-F6BF-46C1-98E9-824BC4DE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1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4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0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4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32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41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003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9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6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1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37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8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16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67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37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13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4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86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0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9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1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12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1988</Words>
  <Characters>11334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    1. Peran Pemerintah Pusat</vt:lpstr>
      <vt:lpstr>        2. Peran Pemerintah Daerah</vt:lpstr>
      <vt:lpstr>        3. Peran Satuan Pendidikan (Sekolah)</vt:lpstr>
      <vt:lpstr>        Kesimpulan</vt:lpstr>
      <vt:lpstr>        1. Pengawasan terhadap Proses Perubahan</vt:lpstr>
      <vt:lpstr>        2. Pengawasan terhadap Keterlibatan Siswa</vt:lpstr>
      <vt:lpstr>        3. Pengawasan terhadap Kolaborasi dan Kepemimpinan</vt:lpstr>
      <vt:lpstr>        4. Pengawasan terhadap Kebijakan dan Sumber Daya</vt:lpstr>
      <vt:lpstr>        5. Pengawasan terhadap Keberlanjutan Perubahan</vt:lpstr>
      <vt:lpstr>        Kesimpulan</vt:lpstr>
    </vt:vector>
  </TitlesOfParts>
  <Company/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mwsinergy@gmail.com</dc:creator>
  <cp:keywords/>
  <dc:description/>
  <cp:lastModifiedBy>mwsinergy@gmail.com</cp:lastModifiedBy>
  <cp:revision>1</cp:revision>
  <dcterms:created xsi:type="dcterms:W3CDTF">2024-12-07T11:48:00Z</dcterms:created>
  <dcterms:modified xsi:type="dcterms:W3CDTF">2024-12-07T13:05:00Z</dcterms:modified>
</cp:coreProperties>
</file>